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168F" w14:textId="5E847667" w:rsidR="00E25674" w:rsidRPr="009E3742" w:rsidRDefault="009E3742" w:rsidP="009E3742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9E3742">
        <w:rPr>
          <w:b/>
          <w:bCs/>
          <w:sz w:val="50"/>
          <w:szCs w:val="50"/>
        </w:rPr>
        <w:t>OPATRENIE 7.5 Najčastejšie kladené otázky pre PPA</w:t>
      </w:r>
    </w:p>
    <w:p w14:paraId="0F5D9E04" w14:textId="77777777" w:rsidR="00E25674" w:rsidRPr="00A47776" w:rsidRDefault="00E25674" w:rsidP="00A5403E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48B6D741" w14:textId="77777777" w:rsidR="00E25674" w:rsidRPr="00A47776" w:rsidRDefault="00E25674" w:rsidP="00A5403E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12"/>
        <w:gridCol w:w="6521"/>
        <w:gridCol w:w="107"/>
      </w:tblGrid>
      <w:tr w:rsidR="00E25674" w:rsidRPr="00A47776" w14:paraId="0AA96E93" w14:textId="77777777" w:rsidTr="000138BE">
        <w:tc>
          <w:tcPr>
            <w:tcW w:w="13994" w:type="dxa"/>
            <w:gridSpan w:val="5"/>
            <w:shd w:val="clear" w:color="auto" w:fill="C496BD"/>
          </w:tcPr>
          <w:p w14:paraId="296CA711" w14:textId="77777777" w:rsidR="00E25674" w:rsidRPr="00A47776" w:rsidRDefault="00E25674" w:rsidP="00A5403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 xml:space="preserve">Oprávnenosť aktivít, výdavkov </w:t>
            </w:r>
          </w:p>
          <w:p w14:paraId="4851F178" w14:textId="77777777" w:rsidR="00E25674" w:rsidRPr="00A47776" w:rsidRDefault="00E25674" w:rsidP="00A5403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7.5 Podpora na investície do rekreačnej infraštruktúry, turistických informácií a do turistickej infraštruktúry malých rozmerov na verejné využitie          Rozvoj cestovného ruchu</w:t>
            </w:r>
          </w:p>
        </w:tc>
      </w:tr>
      <w:tr w:rsidR="00E25674" w:rsidRPr="00A47776" w14:paraId="26DECB51" w14:textId="77777777" w:rsidTr="000138BE">
        <w:tc>
          <w:tcPr>
            <w:tcW w:w="13994" w:type="dxa"/>
            <w:gridSpan w:val="5"/>
            <w:shd w:val="clear" w:color="auto" w:fill="C496BD"/>
          </w:tcPr>
          <w:p w14:paraId="2103B90C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Aktivita 1: Investície, ktoré súvisia s vytvorením, udržiavaním, obnovou a skvalitňovaním turisticky zaujímavých objektov, bodov a miest vrátane príslušnej infraštruktúry – miestne kultúrne, historické, prírodné a iné objekty a zaujímavosti, zriadenie múzejných a galerijných zariadení a pod.</w:t>
            </w:r>
          </w:p>
        </w:tc>
      </w:tr>
      <w:tr w:rsidR="00E25674" w:rsidRPr="00A47776" w14:paraId="51246E1B" w14:textId="77777777" w:rsidTr="000138BE">
        <w:tc>
          <w:tcPr>
            <w:tcW w:w="573" w:type="dxa"/>
            <w:shd w:val="clear" w:color="auto" w:fill="auto"/>
          </w:tcPr>
          <w:p w14:paraId="4C2AA09E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P.č.</w:t>
            </w:r>
          </w:p>
        </w:tc>
        <w:tc>
          <w:tcPr>
            <w:tcW w:w="6781" w:type="dxa"/>
            <w:shd w:val="clear" w:color="auto" w:fill="auto"/>
          </w:tcPr>
          <w:p w14:paraId="1A609E19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6640" w:type="dxa"/>
            <w:gridSpan w:val="3"/>
            <w:shd w:val="clear" w:color="auto" w:fill="auto"/>
          </w:tcPr>
          <w:p w14:paraId="079DF09D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E25674" w:rsidRPr="00A47776" w14:paraId="1DF53A3B" w14:textId="77777777" w:rsidTr="000138BE">
        <w:tc>
          <w:tcPr>
            <w:tcW w:w="573" w:type="dxa"/>
            <w:shd w:val="clear" w:color="auto" w:fill="auto"/>
          </w:tcPr>
          <w:p w14:paraId="7DA0EF0D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781" w:type="dxa"/>
            <w:shd w:val="clear" w:color="auto" w:fill="auto"/>
          </w:tcPr>
          <w:p w14:paraId="21FFBF7C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Obec plánuje zrekonštruovať existujúci hospodársky objekt – ľudový dom (kultúrna pamiatka) a upraviť okolie. Areál je oplotený nevyhovujúcim oplotením. Bude oprávneným výdavkom oplotenie areálu kultúrnej pamiatky?</w:t>
            </w:r>
          </w:p>
        </w:tc>
        <w:tc>
          <w:tcPr>
            <w:tcW w:w="6640" w:type="dxa"/>
            <w:gridSpan w:val="3"/>
            <w:shd w:val="clear" w:color="auto" w:fill="auto"/>
          </w:tcPr>
          <w:p w14:paraId="6B61B1F7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>Oplotenie objektu   možno považovať za oprávnený výdavok za príslušnú infraštruktúru v rámci investície súvisiacej s vytvorením, udržiavaním, obnovou a skvalitňovaním turisticky zaujímavých objektov, bodov – miestne kultúrne, historické, prírodné a iné objekty a zaujímavosti, zriadenie múzejných a galerijných zariadení a pod.,</w:t>
            </w:r>
          </w:p>
        </w:tc>
      </w:tr>
      <w:tr w:rsidR="00E25674" w:rsidRPr="00A47776" w14:paraId="002B36A9" w14:textId="77777777" w:rsidTr="000138BE">
        <w:tc>
          <w:tcPr>
            <w:tcW w:w="13994" w:type="dxa"/>
            <w:gridSpan w:val="5"/>
            <w:shd w:val="clear" w:color="auto" w:fill="C496BD"/>
          </w:tcPr>
          <w:p w14:paraId="63C7B9AE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Aktivita 2: investície do rekreačnej infraštruktúry, turistických informácií a informačných tabúľ v turistických lokalitách na verejné využitie, budovanie drobných obslužných zariadení pre turistov, informačné body, smerové tabule, KIOSKy a pod.</w:t>
            </w:r>
          </w:p>
        </w:tc>
      </w:tr>
      <w:tr w:rsidR="00E25674" w:rsidRPr="00A47776" w14:paraId="033A6ED1" w14:textId="77777777" w:rsidTr="000138BE">
        <w:tc>
          <w:tcPr>
            <w:tcW w:w="573" w:type="dxa"/>
            <w:shd w:val="clear" w:color="auto" w:fill="auto"/>
          </w:tcPr>
          <w:p w14:paraId="14DC9AD5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781" w:type="dxa"/>
            <w:shd w:val="clear" w:color="auto" w:fill="auto"/>
          </w:tcPr>
          <w:p w14:paraId="6E2CA203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Drevený prístrešok so zámkovou dlažbou obec plánuje umiestniť na severnú stranu spoločenskej sály kultúrneho domu, na ktorom by sa vymenili aj vstupné drevené dvere (návštevníkom bude k dispozícií hygienické zariadenie v objekte kultúrneho domu). Prístrešok bude slúžiť na usporiadanie Gemerského remeselníckeho jarmoku, Gastrofestivalu a iných podujatí, kde sa budú prezentovať miestne tradície, remeslá, gurmánske špeciality určené pre obyvateľov obce ako aj návštevníkov z rôznych kútov sveta. Je možné financovať aj výmenu drevených dverí v rámci aktivity 2?  </w:t>
            </w:r>
          </w:p>
          <w:p w14:paraId="415043FC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V tomto objekte obce  sa nachádza aj vyvýšené javisko, na ktorom je nevyhovujúca strecha, vyžadujúca si opravu. Toto vyvýšené javisko je prepojené s kultúrnym domom, ale má samostatnú asfaltovú strechu. Bolo by možné v rámci aktivity 2 opraviť túto strechu nad vyvýšeným javiskom? Je to v podstate investícia do rekreačnej infraštruktúry malého rozmeru určená pre turistov i pre domáce obyvateľstvo.</w:t>
            </w:r>
          </w:p>
        </w:tc>
        <w:tc>
          <w:tcPr>
            <w:tcW w:w="6640" w:type="dxa"/>
            <w:gridSpan w:val="3"/>
            <w:shd w:val="clear" w:color="auto" w:fill="auto"/>
          </w:tcPr>
          <w:p w14:paraId="3F4CE001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Výmenu dverí v kultúrnom dome, vyvýšené javisko nie je možné financovať v rámci Aktivity 2 Podopatrenia 7.5, rekonštrukcia kultúrnych domov je podporovaná v rámci podopatrenia 7.4 Aktivita 1.</w:t>
            </w:r>
          </w:p>
        </w:tc>
      </w:tr>
      <w:tr w:rsidR="009E3742" w:rsidRPr="00A47776" w14:paraId="74EC06B4" w14:textId="77777777" w:rsidTr="009E3742">
        <w:trPr>
          <w:gridAfter w:val="1"/>
          <w:wAfter w:w="107" w:type="dxa"/>
        </w:trPr>
        <w:tc>
          <w:tcPr>
            <w:tcW w:w="7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F3A565" w14:textId="77777777" w:rsidR="009E3742" w:rsidRPr="00A47776" w:rsidRDefault="009E3742" w:rsidP="002673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P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otvrdenie o vedení bankového účtu treba predložiť fyzicky úradne overenú kópiu alebo bude ITMS2014+ rozšírené o túto funkcionalitu a stačí </w:t>
            </w:r>
            <w:proofErr w:type="spellStart"/>
            <w:r w:rsidRPr="00A47776">
              <w:rPr>
                <w:rFonts w:ascii="Cambria" w:hAnsi="Cambria"/>
                <w:sz w:val="20"/>
                <w:szCs w:val="20"/>
              </w:rPr>
              <w:t>sken</w:t>
            </w:r>
            <w:proofErr w:type="spellEnd"/>
            <w:r w:rsidRPr="00A47776">
              <w:rPr>
                <w:rFonts w:ascii="Cambria" w:hAnsi="Cambria"/>
                <w:sz w:val="20"/>
                <w:szCs w:val="20"/>
              </w:rPr>
              <w:t xml:space="preserve"> originálu priložiť do systému ITMS2014+?</w:t>
            </w:r>
          </w:p>
          <w:p w14:paraId="281CDFBF" w14:textId="77777777" w:rsidR="009E3742" w:rsidRPr="00A47776" w:rsidRDefault="009E3742" w:rsidP="002673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6C063DF" w14:textId="77777777" w:rsidR="009E3742" w:rsidRPr="00A47776" w:rsidRDefault="009E3742" w:rsidP="002673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otvrdenie o vedení bankového účtu </w:t>
            </w:r>
            <w:r w:rsidRPr="00A477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nie je treba predložiť fyzicky úradne overenú kópiu a stačí </w:t>
            </w:r>
            <w:proofErr w:type="spellStart"/>
            <w:r w:rsidRPr="00A47776">
              <w:rPr>
                <w:rFonts w:ascii="Cambria" w:hAnsi="Cambria"/>
                <w:color w:val="000000" w:themeColor="text1"/>
                <w:sz w:val="20"/>
                <w:szCs w:val="20"/>
              </w:rPr>
              <w:t>sken</w:t>
            </w:r>
            <w:proofErr w:type="spellEnd"/>
            <w:r w:rsidRPr="00A477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originálu priložiť </w:t>
            </w:r>
            <w:r w:rsidRPr="00A47776">
              <w:rPr>
                <w:rFonts w:ascii="Cambria" w:hAnsi="Cambria"/>
                <w:sz w:val="20"/>
                <w:szCs w:val="20"/>
              </w:rPr>
              <w:t>do systému ITMS2014+.</w:t>
            </w:r>
          </w:p>
          <w:p w14:paraId="4DC458C6" w14:textId="77777777" w:rsidR="009E3742" w:rsidRPr="00A47776" w:rsidRDefault="009E3742" w:rsidP="0026730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Platí pre všetky </w:t>
            </w:r>
            <w:proofErr w:type="spellStart"/>
            <w:r w:rsidRPr="00A47776">
              <w:rPr>
                <w:rFonts w:ascii="Cambria" w:hAnsi="Cambria"/>
                <w:sz w:val="20"/>
                <w:szCs w:val="20"/>
              </w:rPr>
              <w:t>podopatrenia</w:t>
            </w:r>
            <w:proofErr w:type="spellEnd"/>
            <w:r w:rsidRPr="00A47776">
              <w:rPr>
                <w:rFonts w:ascii="Cambria" w:hAnsi="Cambria"/>
                <w:sz w:val="20"/>
                <w:szCs w:val="20"/>
              </w:rPr>
              <w:t xml:space="preserve"> a pre všetky </w:t>
            </w:r>
            <w:proofErr w:type="spellStart"/>
            <w:r w:rsidRPr="00A47776">
              <w:rPr>
                <w:rFonts w:ascii="Cambria" w:hAnsi="Cambria"/>
                <w:sz w:val="20"/>
                <w:szCs w:val="20"/>
              </w:rPr>
              <w:t>ŽoNFP</w:t>
            </w:r>
            <w:proofErr w:type="spellEnd"/>
            <w:r w:rsidRPr="00A47776">
              <w:rPr>
                <w:rFonts w:ascii="Cambria" w:hAnsi="Cambria"/>
                <w:sz w:val="20"/>
                <w:szCs w:val="20"/>
              </w:rPr>
              <w:t>.</w:t>
            </w:r>
          </w:p>
          <w:p w14:paraId="008E7A07" w14:textId="77777777" w:rsidR="009E3742" w:rsidRPr="00A47776" w:rsidRDefault="009E3742" w:rsidP="0026730B">
            <w:pPr>
              <w:pStyle w:val="Odsekzoznamu1"/>
              <w:spacing w:after="0" w:line="240" w:lineRule="auto"/>
              <w:ind w:left="0"/>
              <w:jc w:val="both"/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73BA0357" w14:textId="77777777" w:rsidR="00E25674" w:rsidRPr="00A47776" w:rsidRDefault="00E25674" w:rsidP="00A5403E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page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E25674" w:rsidRPr="00A47776" w14:paraId="502B2A46" w14:textId="77777777" w:rsidTr="000138BE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1F2262" w14:textId="77777777" w:rsidR="00E25674" w:rsidRPr="00A47776" w:rsidRDefault="00E25674" w:rsidP="00A5403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Oprávnenosť aktivít, výdavkov </w:t>
            </w:r>
          </w:p>
          <w:p w14:paraId="3F76EB3C" w14:textId="77777777" w:rsidR="00E25674" w:rsidRPr="00A47776" w:rsidRDefault="00E25674" w:rsidP="00A5403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7.5 Podpora na investície do rekreačnej infraštruktúry, turistických informácií a do turistickej infraštruktúry malých rozmerov na verejné využitie          Rozvoj cestovného ruchu</w:t>
            </w:r>
          </w:p>
        </w:tc>
      </w:tr>
      <w:tr w:rsidR="00E25674" w:rsidRPr="00A47776" w14:paraId="0E5389E6" w14:textId="77777777" w:rsidTr="000138BE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01923A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Aktivita 1: Investície, ktoré súvisia s vytvorením, udržiavaním, obnovou a skvalitňovaním turisticky zaujímavých objektov, bodov a miest vrátane príslušnej infraštruktúry – miestne kultúrne, historické, prírodné a iné objekty a zaujímavosti, zriadenie múzejných a galerijných zariadení a pod.</w:t>
            </w:r>
          </w:p>
        </w:tc>
      </w:tr>
      <w:tr w:rsidR="00E25674" w:rsidRPr="00A47776" w14:paraId="0EBEF4AE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F354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P.č.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AEE4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Otázka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E59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Odpoveď</w:t>
            </w:r>
          </w:p>
        </w:tc>
      </w:tr>
      <w:tr w:rsidR="00E25674" w:rsidRPr="00A47776" w14:paraId="0A206D94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8177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C4B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V rámci vyhlásenej výzvy pre podopatrenie  </w:t>
            </w:r>
            <w:r w:rsidRPr="00A47776">
              <w:rPr>
                <w:rFonts w:ascii="Cambria" w:hAnsi="Cambria"/>
                <w:b/>
                <w:bCs/>
                <w:sz w:val="20"/>
                <w:szCs w:val="20"/>
              </w:rPr>
              <w:t>7.5. Podpora na investície do rekreačnej infraštruktúry, turistických informácií a do turistickej infraštruktúry malých rozmerov na verejné využitie (mimo Bratislavský kraj)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 sú medzi oprávnené činnosti o.i. zaradené aj </w:t>
            </w:r>
            <w:r w:rsidRPr="00A47776">
              <w:rPr>
                <w:rFonts w:ascii="Cambria" w:hAnsi="Cambria"/>
                <w:i/>
                <w:iCs/>
                <w:sz w:val="20"/>
                <w:szCs w:val="20"/>
              </w:rPr>
              <w:t>Obnova a skvalitnenie turisticky zaujímavých objektov, bodov a miest vrátane príslušnej infraštruktúry (kultúrne, historické, prírodné objekty, zariadenie muzejných a galerijných zariadení a pod.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7D3EFFD2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Bude medzi takéto činnosti zaradená aj </w:t>
            </w:r>
            <w:r w:rsidRPr="00A47776">
              <w:rPr>
                <w:rFonts w:ascii="Cambria" w:hAnsi="Cambria"/>
                <w:b/>
                <w:bCs/>
                <w:sz w:val="20"/>
                <w:szCs w:val="20"/>
              </w:rPr>
              <w:t>výmena okien na kaštieli</w:t>
            </w:r>
            <w:r w:rsidRPr="00A47776">
              <w:rPr>
                <w:rFonts w:ascii="Cambria" w:hAnsi="Cambria"/>
                <w:sz w:val="20"/>
                <w:szCs w:val="20"/>
              </w:rPr>
              <w:t>, ktorý je zaradený do národných kultúrnych pamiatok? Výmenou týchto okien sa skvalitní využiteľnosť daného objektu, nakoľko aktuálne je väčšina okien na kaštieli rozbitá, čo v prípade dažďa alebo sneženia spôsobuje zatekanie v interiéri daného objektu. Taktiež sa skvalitní situácia pre aktuálnych užívateľov kašt</w:t>
            </w:r>
            <w:r w:rsidR="00A47776">
              <w:rPr>
                <w:rFonts w:ascii="Cambria" w:hAnsi="Cambria"/>
                <w:sz w:val="20"/>
                <w:szCs w:val="20"/>
              </w:rPr>
              <w:t>i</w:t>
            </w:r>
            <w:r w:rsidRPr="00A47776">
              <w:rPr>
                <w:rFonts w:ascii="Cambria" w:hAnsi="Cambria"/>
                <w:sz w:val="20"/>
                <w:szCs w:val="20"/>
              </w:rPr>
              <w:t>eľa.</w:t>
            </w:r>
          </w:p>
          <w:p w14:paraId="74E90EAD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890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>Jedná sa o kultúrnu pamiatku a zároveň má byť prístupná verejnosti, ale výmena okien nebude spĺňať účel, ak kaštieľ nebude verejne prístupný.</w:t>
            </w:r>
          </w:p>
        </w:tc>
      </w:tr>
      <w:tr w:rsidR="00E25674" w:rsidRPr="00A47776" w14:paraId="7D279481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243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05B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Je v rámci aktivity č. 1 oprávnená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výstavba múzea s príslušnou infraštruktúrou vrátane úpravy okolia múzea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 napr. výsadba zelene, príslušný mobiliár resp. drobné architektonické prvky v exteriéri napr. lavička, kôš, smerník, úprava vstupných plôch a pod.?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FDB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Jedná sa o oprávnenú aktivitu. </w:t>
            </w:r>
          </w:p>
        </w:tc>
      </w:tr>
      <w:tr w:rsidR="00E25674" w:rsidRPr="00A47776" w14:paraId="3FC850EB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1CB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F8B" w14:textId="77777777" w:rsidR="00E25674" w:rsidRPr="00A47776" w:rsidRDefault="00E25674" w:rsidP="00A540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V prípade výstavby drevenice, ktorá by bola presunutá z inej časti obce, budú oprávnené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náklady na prevoz drevenice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8A4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Áno, ide o oprávnené náklady. </w:t>
            </w:r>
          </w:p>
        </w:tc>
      </w:tr>
      <w:tr w:rsidR="00E25674" w:rsidRPr="00A47776" w14:paraId="2BBACF7B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C16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4.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AC2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Sú oprávnené taktiež výdavky na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zariadenie interiéru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múzea – hnuteľného majetku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 napr. stôl, stoličky a pod.?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91C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Áno, ide o oprávnené výdavky. </w:t>
            </w:r>
          </w:p>
        </w:tc>
      </w:tr>
      <w:tr w:rsidR="00E25674" w:rsidRPr="00A47776" w14:paraId="5F495ACD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006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5.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4D0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Sú oprávnené výdavky na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zabudovaný hmotný majetok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 napr. výstavba pece, či kuchynská linka v múzeu ako súčasť tradičného prvku drevenice, ktorá bude zároveň časťou výstavy?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936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Áno, ide o oprávnené výdavky. </w:t>
            </w:r>
          </w:p>
        </w:tc>
      </w:tr>
      <w:tr w:rsidR="00E25674" w:rsidRPr="00A47776" w14:paraId="4F7013F8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0AD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D66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Je možné uplatniť si v rámci jednej ŽoNFP oprávnené výdavky spadajúce do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viacerých oprávnených aktivít opatrenia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>?  Napr. výstavba múzea/aktivita č. 1 a zároveň informačná tabuľa/aktivita č.2?</w:t>
            </w:r>
          </w:p>
          <w:p w14:paraId="7BE07FA4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9E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Nie, nie je možné spájať dve aktivity v rámci jednej ŽoNFP. </w:t>
            </w:r>
          </w:p>
        </w:tc>
      </w:tr>
      <w:tr w:rsidR="00E25674" w:rsidRPr="00A47776" w14:paraId="37EA149B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294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74E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Chcela by som sa spýtať či je v rámci Podopatrenia 7.5 oprávneným výdavkom zriadenie online video kamery. </w:t>
            </w:r>
          </w:p>
          <w:p w14:paraId="6C68A65F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EF4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t xml:space="preserve">Nie. </w:t>
            </w:r>
          </w:p>
        </w:tc>
      </w:tr>
      <w:tr w:rsidR="00E25674" w:rsidRPr="00A47776" w14:paraId="16C5F1AF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077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8.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D1E" w14:textId="77777777" w:rsidR="00E25674" w:rsidRPr="00A47776" w:rsidRDefault="00E25674" w:rsidP="00A540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47776">
              <w:rPr>
                <w:rFonts w:ascii="Cambria" w:eastAsia="Times New Roman" w:hAnsi="Cambria"/>
                <w:sz w:val="20"/>
                <w:szCs w:val="20"/>
              </w:rPr>
              <w:t xml:space="preserve">Sú oprávnené výdavky na </w:t>
            </w:r>
            <w:r w:rsidRPr="00A47776">
              <w:rPr>
                <w:rFonts w:ascii="Cambria" w:eastAsia="Times New Roman" w:hAnsi="Cambria"/>
                <w:sz w:val="20"/>
                <w:szCs w:val="20"/>
                <w:u w:val="single"/>
              </w:rPr>
              <w:t>stavebný dozor</w:t>
            </w:r>
            <w:r w:rsidRPr="00A47776">
              <w:rPr>
                <w:rFonts w:ascii="Cambria" w:eastAsia="Times New Roman" w:hAnsi="Cambria"/>
                <w:sz w:val="20"/>
                <w:szCs w:val="20"/>
              </w:rPr>
              <w:t>?</w:t>
            </w:r>
          </w:p>
          <w:p w14:paraId="521CBA93" w14:textId="77777777" w:rsidR="00E25674" w:rsidRPr="00A47776" w:rsidRDefault="00E25674" w:rsidP="00A540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ADA" w14:textId="77777777" w:rsidR="00E25674" w:rsidRPr="00A47776" w:rsidRDefault="00E25674" w:rsidP="00A5403E">
            <w:pPr>
              <w:spacing w:after="0" w:line="240" w:lineRule="auto"/>
              <w:ind w:left="44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A47776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Ak súvisí s rekonštrukciou, tak áno. </w:t>
            </w:r>
          </w:p>
        </w:tc>
      </w:tr>
      <w:tr w:rsidR="00E25674" w:rsidRPr="00A47776" w14:paraId="12D4D51B" w14:textId="77777777" w:rsidTr="000138BE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57ACD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sz w:val="20"/>
                <w:szCs w:val="20"/>
              </w:rPr>
              <w:t>Aktivita 2: investície do rekreačnej infraštruktúry, turistických informácií a informačných tabúľ v turistických lokalitách na verejné využitie, budovanie drobných obslužných zariadení pre turistov, informačné body, smerové tabule, KIOSKy a pod.</w:t>
            </w:r>
          </w:p>
        </w:tc>
      </w:tr>
      <w:tr w:rsidR="00E25674" w:rsidRPr="00A47776" w14:paraId="3967050F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CFE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7E2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V rámci opatrenia 7.5 oprávnenej </w:t>
            </w:r>
            <w:r w:rsidRPr="00A47776">
              <w:rPr>
                <w:rFonts w:ascii="Cambria" w:hAnsi="Cambria"/>
                <w:i/>
                <w:iCs/>
                <w:sz w:val="20"/>
                <w:szCs w:val="20"/>
              </w:rPr>
              <w:t>aktivity 2: investície do rekreačnej infraštruktúry, turistických informácií a informačných tabúľ a bodov v turistických lokalitách, budovanie drobných obslužných zariadení pre turistov, a pod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. – </w:t>
            </w:r>
            <w:r w:rsidRPr="00A47776">
              <w:rPr>
                <w:rFonts w:ascii="Cambria" w:hAnsi="Cambria"/>
                <w:b/>
                <w:bCs/>
                <w:sz w:val="20"/>
                <w:szCs w:val="20"/>
              </w:rPr>
              <w:t xml:space="preserve">aké konkrétne aktivity budú oprávnené v rámci investícií do rekreačnej infraštruktúry resp. čo sa myslí pod tým rekreačná infraštruktúra? </w:t>
            </w:r>
          </w:p>
          <w:p w14:paraId="57209800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1C1B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Všetko, čo priamo súvisí so službami týkajúcimi sa rekreácie (napr. turistické chodníky, turistické značky a pod.).</w:t>
            </w:r>
          </w:p>
        </w:tc>
      </w:tr>
      <w:tr w:rsidR="00E25674" w:rsidRPr="00A47776" w14:paraId="33C62B3B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4B4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895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Mám jednu otázku ohľadom opatrenia 7.5. - rozsah a oprávnené činnosti - sú oprávneným výdavkom smerové tabule (označujú názvy jednotlivých častí obcí, názvy ulíc)?? alebo sa myslí len smerové tabule označujúce turistické miesta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1C8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Nie. </w:t>
            </w:r>
            <w:r w:rsidRPr="00A477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Oprávneným výdavkom sú iba </w:t>
            </w:r>
            <w:r w:rsidRPr="00A47776">
              <w:rPr>
                <w:rFonts w:ascii="Cambria" w:hAnsi="Cambria"/>
                <w:sz w:val="20"/>
                <w:szCs w:val="20"/>
              </w:rPr>
              <w:t xml:space="preserve">smerové tabule označujúce turistické miesta. </w:t>
            </w:r>
          </w:p>
        </w:tc>
      </w:tr>
      <w:tr w:rsidR="00E25674" w:rsidRPr="00A47776" w14:paraId="32DA8782" w14:textId="77777777" w:rsidTr="000138BE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54B67" w14:textId="77777777" w:rsidR="00E25674" w:rsidRPr="00A47776" w:rsidRDefault="00E25674" w:rsidP="00A5403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4777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A47776">
              <w:rPr>
                <w:rFonts w:ascii="Cambria" w:hAnsi="Cambria"/>
                <w:b/>
                <w:bCs/>
                <w:sz w:val="20"/>
                <w:szCs w:val="20"/>
                <w:shd w:val="clear" w:color="auto" w:fill="FFFF00"/>
              </w:rPr>
              <w:t xml:space="preserve">Aktivita 3: </w:t>
            </w:r>
            <w:r w:rsidRPr="00A47776">
              <w:rPr>
                <w:rFonts w:ascii="Cambria" w:hAnsi="Cambria"/>
                <w:b/>
                <w:sz w:val="20"/>
                <w:szCs w:val="20"/>
                <w:shd w:val="clear" w:color="auto" w:fill="FFFF00"/>
              </w:rPr>
              <w:t xml:space="preserve"> budovanie, rekonštrukcia náučných chodníkov, cykloturistických chodníkov, ich napojenie na náučné chodníky, budovanie doplnkovej infraštruktúry (odpočinkové miesta, prístrešky, stojany na bicykle a pod.), výstavba vyhliadkových veží, budovanie, údržba a obnova cykloturistického značenia na existujúcich cykloturistických trasách a pod.</w:t>
            </w:r>
          </w:p>
        </w:tc>
      </w:tr>
      <w:tr w:rsidR="00E25674" w:rsidRPr="00A47776" w14:paraId="2887B0E4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EF2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FCA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Sú v tomto podopatrení oprávnené výdavky súvisiace s vybudovaním doplnkovej infraštruktúry, konkrétne ide o vybudovanie odpočinkového miesta pre turistov a cykloturistov, ktoré bude zložené z altánkov, stojanov na bicykle, prístreškov, lavičiek, odpadkových košov a informačných tabúľ?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2DC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Áno. </w:t>
            </w:r>
          </w:p>
        </w:tc>
      </w:tr>
      <w:tr w:rsidR="00E25674" w:rsidRPr="00A47776" w14:paraId="09C07A0B" w14:textId="77777777" w:rsidTr="000138B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50A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525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>Sú v rámci Podopatrenia 7.5  Podpora na investície do rekreačnej infraštruktúry, turistických informácií a do turistickej infraštruktúry malých rozmerov na verejné využitie (mimo Bratislavský kraj) oprávnené výdavky na projekt, v rámci ktorého budú v oblasti (aktivite)  309075001A003 vybudované odpočinkové miesta (t.j. altánky), stojany na bicykle a prístrešky a taktiež by boli v obci umiestnené aj informačné a turistické tabule v rámci oblasti (aktivity) 309075001A002, ktoré by boli považované za súčasť tohto projektu?</w:t>
            </w:r>
          </w:p>
          <w:p w14:paraId="3A4CF7AA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BD3" w14:textId="77777777" w:rsidR="00E25674" w:rsidRPr="00A47776" w:rsidRDefault="00E25674" w:rsidP="00A5403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47776">
              <w:rPr>
                <w:rFonts w:ascii="Cambria" w:hAnsi="Cambria"/>
                <w:sz w:val="20"/>
                <w:szCs w:val="20"/>
              </w:rPr>
              <w:t xml:space="preserve">Áno. </w:t>
            </w:r>
          </w:p>
        </w:tc>
      </w:tr>
    </w:tbl>
    <w:p w14:paraId="3816AA0D" w14:textId="77777777" w:rsidR="00E25674" w:rsidRPr="00A47776" w:rsidRDefault="00E25674">
      <w:pPr>
        <w:rPr>
          <w:rFonts w:ascii="Cambria" w:hAnsi="Cambria"/>
          <w:sz w:val="20"/>
          <w:szCs w:val="20"/>
        </w:rPr>
      </w:pPr>
    </w:p>
    <w:sectPr w:rsidR="00E25674" w:rsidRPr="00A47776" w:rsidSect="00E25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B24E" w14:textId="77777777" w:rsidR="0068316E" w:rsidRDefault="0068316E" w:rsidP="00E25674">
      <w:pPr>
        <w:spacing w:after="0" w:line="240" w:lineRule="auto"/>
      </w:pPr>
      <w:r>
        <w:separator/>
      </w:r>
    </w:p>
  </w:endnote>
  <w:endnote w:type="continuationSeparator" w:id="0">
    <w:p w14:paraId="7E0BD790" w14:textId="77777777" w:rsidR="0068316E" w:rsidRDefault="0068316E" w:rsidP="00E2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3814" w14:textId="77777777" w:rsidR="0068316E" w:rsidRDefault="0068316E" w:rsidP="00E25674">
      <w:pPr>
        <w:spacing w:after="0" w:line="240" w:lineRule="auto"/>
      </w:pPr>
      <w:r>
        <w:separator/>
      </w:r>
    </w:p>
  </w:footnote>
  <w:footnote w:type="continuationSeparator" w:id="0">
    <w:p w14:paraId="567C3644" w14:textId="77777777" w:rsidR="0068316E" w:rsidRDefault="0068316E" w:rsidP="00E2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2680D"/>
    <w:multiLevelType w:val="hybridMultilevel"/>
    <w:tmpl w:val="9A8C93F6"/>
    <w:lvl w:ilvl="0" w:tplc="EFA0896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550"/>
    <w:multiLevelType w:val="hybridMultilevel"/>
    <w:tmpl w:val="EF2AA748"/>
    <w:lvl w:ilvl="0" w:tplc="1B026950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74"/>
    <w:rsid w:val="0068316E"/>
    <w:rsid w:val="009E3742"/>
    <w:rsid w:val="00A47776"/>
    <w:rsid w:val="00A5403E"/>
    <w:rsid w:val="00CD2971"/>
    <w:rsid w:val="00E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2ECE"/>
  <w15:chartTrackingRefBased/>
  <w15:docId w15:val="{0690D957-559F-494E-ABC9-0A57367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1"/>
    <w:uiPriority w:val="34"/>
    <w:qFormat/>
    <w:locked/>
    <w:rsid w:val="00E25674"/>
  </w:style>
  <w:style w:type="paragraph" w:customStyle="1" w:styleId="Odsekzoznamu1">
    <w:name w:val="Odsek zoznamu1"/>
    <w:aliases w:val="body,Odsek zoznamu2,Farebný zoznam – zvýraznenie 11"/>
    <w:basedOn w:val="Normlny"/>
    <w:link w:val="OdsekzoznamuChar"/>
    <w:uiPriority w:val="34"/>
    <w:qFormat/>
    <w:rsid w:val="00E25674"/>
    <w:pPr>
      <w:spacing w:line="256" w:lineRule="auto"/>
      <w:ind w:left="720"/>
      <w:contextualSpacing/>
    </w:pPr>
  </w:style>
  <w:style w:type="paragraph" w:styleId="Odsekzoznamu">
    <w:name w:val="List Paragraph"/>
    <w:aliases w:val="Lettre d'introduction,Paragrafo elenco,1st level - Bullet List Paragraph,Odsek zoznamu21"/>
    <w:basedOn w:val="Normlny"/>
    <w:uiPriority w:val="34"/>
    <w:qFormat/>
    <w:rsid w:val="00E256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qFormat/>
    <w:rsid w:val="00E2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qFormat/>
    <w:rsid w:val="00E25674"/>
    <w:pPr>
      <w:spacing w:line="300" w:lineRule="auto"/>
      <w:ind w:left="357" w:hanging="357"/>
    </w:pPr>
    <w:rPr>
      <w:rFonts w:eastAsiaTheme="minorEastAsia"/>
      <w:sz w:val="20"/>
      <w:szCs w:val="21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E25674"/>
    <w:rPr>
      <w:rFonts w:eastAsiaTheme="minorEastAsia"/>
      <w:sz w:val="20"/>
      <w:szCs w:val="21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nhideWhenUsed/>
    <w:qFormat/>
    <w:rsid w:val="00E25674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E25674"/>
    <w:pPr>
      <w:spacing w:line="240" w:lineRule="exact"/>
    </w:pPr>
    <w:rPr>
      <w:vertAlign w:val="superscript"/>
    </w:rPr>
  </w:style>
  <w:style w:type="character" w:customStyle="1" w:styleId="h1a">
    <w:name w:val="h1a"/>
    <w:basedOn w:val="Predvolenpsmoodseku"/>
    <w:rsid w:val="00E2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MAS Sekcov Topla</cp:lastModifiedBy>
  <cp:revision>4</cp:revision>
  <dcterms:created xsi:type="dcterms:W3CDTF">2020-01-14T14:30:00Z</dcterms:created>
  <dcterms:modified xsi:type="dcterms:W3CDTF">2020-01-17T08:34:00Z</dcterms:modified>
</cp:coreProperties>
</file>